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7" w:rsidRPr="004E2493" w:rsidRDefault="004E2493" w:rsidP="004E2493">
      <w:pPr>
        <w:rPr>
          <w:rFonts w:ascii="Times New Roman" w:hAnsi="Times New Roman" w:cs="Times New Roman"/>
          <w:sz w:val="28"/>
          <w:szCs w:val="28"/>
        </w:rPr>
      </w:pPr>
      <w:r w:rsidRPr="004E2493">
        <w:rPr>
          <w:rFonts w:ascii="Times New Roman" w:hAnsi="Times New Roman" w:cs="Times New Roman"/>
          <w:sz w:val="28"/>
          <w:szCs w:val="28"/>
        </w:rPr>
        <w:t>Уровень потерь электрической энергии (мощности) на 2023 год принят Департаментом на уровне, не превышающим уровень потерь, приняты на первый год долгосрочного периода регулирования в соответствии с п.33 «Основ ценообразования в области регулируемых цен (тарифов) в электроэнергетике», утвержденных постановлением Правительства РФ от 29.12.2011 №1178 – 3,2%</w:t>
      </w:r>
      <w:bookmarkStart w:id="0" w:name="_GoBack"/>
      <w:bookmarkEnd w:id="0"/>
    </w:p>
    <w:sectPr w:rsidR="005E5807" w:rsidRPr="004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1A0663"/>
    <w:rsid w:val="001B437B"/>
    <w:rsid w:val="0021305D"/>
    <w:rsid w:val="00252DEB"/>
    <w:rsid w:val="004E2493"/>
    <w:rsid w:val="005E5807"/>
    <w:rsid w:val="006A4592"/>
    <w:rsid w:val="006A64AC"/>
    <w:rsid w:val="008211F4"/>
    <w:rsid w:val="00C36BED"/>
    <w:rsid w:val="00CD2558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6A0C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4</cp:revision>
  <dcterms:created xsi:type="dcterms:W3CDTF">2021-03-22T10:48:00Z</dcterms:created>
  <dcterms:modified xsi:type="dcterms:W3CDTF">2023-01-09T05:30:00Z</dcterms:modified>
</cp:coreProperties>
</file>